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47D0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852AA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МПР РФ от 24.01.2005 N 23</w:t>
            </w:r>
            <w:r>
              <w:rPr>
                <w:sz w:val="38"/>
                <w:szCs w:val="38"/>
              </w:rPr>
              <w:br/>
              <w:t>(ред. от 15.12.2009)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федерального значения и участка недр, который отнесен к участк</w:t>
            </w:r>
            <w:r>
              <w:rPr>
                <w:sz w:val="38"/>
                <w:szCs w:val="38"/>
              </w:rPr>
              <w:t>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полезных ископаемых открытого месторождения"</w:t>
            </w:r>
            <w:r>
              <w:rPr>
                <w:sz w:val="38"/>
                <w:szCs w:val="38"/>
              </w:rPr>
              <w:br/>
              <w:t>(Зар</w:t>
            </w:r>
            <w:r>
              <w:rPr>
                <w:sz w:val="38"/>
                <w:szCs w:val="38"/>
              </w:rPr>
              <w:t>егистрировано в Минюсте РФ 16.02.2005 N 6329)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852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5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52AA">
      <w:pPr>
        <w:pStyle w:val="ConsPlusNormal"/>
        <w:jc w:val="both"/>
        <w:outlineLvl w:val="0"/>
      </w:pPr>
    </w:p>
    <w:p w:rsidR="00000000" w:rsidRDefault="00C852AA">
      <w:pPr>
        <w:pStyle w:val="ConsPlusNormal"/>
        <w:outlineLvl w:val="0"/>
      </w:pPr>
      <w:r>
        <w:t>Зарегистрировано в Минюсте РФ 16 февраля 2005 г. N 6329</w:t>
      </w:r>
    </w:p>
    <w:p w:rsidR="00000000" w:rsidRDefault="00C85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2AA">
      <w:pPr>
        <w:pStyle w:val="ConsPlusNormal"/>
        <w:jc w:val="both"/>
      </w:pPr>
    </w:p>
    <w:p w:rsidR="00000000" w:rsidRDefault="00C852A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000000" w:rsidRDefault="00C852AA">
      <w:pPr>
        <w:pStyle w:val="ConsPlusTitle"/>
        <w:jc w:val="center"/>
      </w:pPr>
    </w:p>
    <w:p w:rsidR="00000000" w:rsidRDefault="00C852AA">
      <w:pPr>
        <w:pStyle w:val="ConsPlusTitle"/>
        <w:jc w:val="center"/>
      </w:pPr>
      <w:r>
        <w:t>ПРИКАЗ</w:t>
      </w:r>
    </w:p>
    <w:p w:rsidR="00000000" w:rsidRDefault="00C852AA">
      <w:pPr>
        <w:pStyle w:val="ConsPlusTitle"/>
        <w:jc w:val="center"/>
      </w:pPr>
      <w:r>
        <w:t>от 24 января 2005 г. N 23</w:t>
      </w:r>
    </w:p>
    <w:p w:rsidR="00000000" w:rsidRDefault="00C852AA">
      <w:pPr>
        <w:pStyle w:val="ConsPlusTitle"/>
        <w:jc w:val="center"/>
      </w:pPr>
    </w:p>
    <w:p w:rsidR="00000000" w:rsidRDefault="00C852AA">
      <w:pPr>
        <w:pStyle w:val="ConsPlusTitle"/>
        <w:jc w:val="center"/>
      </w:pPr>
      <w:r>
        <w:t>ОБ УТВЕРЖДЕНИИ ПОРЯДКА</w:t>
      </w:r>
    </w:p>
    <w:p w:rsidR="00000000" w:rsidRDefault="00C852AA">
      <w:pPr>
        <w:pStyle w:val="ConsPlusTitle"/>
        <w:jc w:val="center"/>
      </w:pPr>
      <w:r>
        <w:t>РАССМОТРЕНИЯ ЗАЯВОК НА ПОЛУЧЕНИЕ</w:t>
      </w:r>
    </w:p>
    <w:p w:rsidR="00000000" w:rsidRDefault="00C852AA">
      <w:pPr>
        <w:pStyle w:val="ConsPlusTitle"/>
        <w:jc w:val="center"/>
      </w:pPr>
      <w:r>
        <w:t>ПРАВА ПОЛЬЗОВАНИЯ НЕДРАМИ ПРИ УСТАНОВЛЕНИИ</w:t>
      </w:r>
    </w:p>
    <w:p w:rsidR="00000000" w:rsidRDefault="00C852AA">
      <w:pPr>
        <w:pStyle w:val="ConsPlusTitle"/>
        <w:jc w:val="center"/>
      </w:pPr>
      <w:r>
        <w:t>ФАКТА ОТКРЫТИЯ МЕСТОРОЖДЕНИЯ ПОЛЕЗНЫХ ИСКОПАЕМЫХ</w:t>
      </w:r>
    </w:p>
    <w:p w:rsidR="00000000" w:rsidRDefault="00C852AA">
      <w:pPr>
        <w:pStyle w:val="ConsPlusTitle"/>
        <w:jc w:val="center"/>
      </w:pPr>
      <w:r>
        <w:t xml:space="preserve">НА УЧАСТКЕ НЕДР, </w:t>
      </w:r>
      <w:r>
        <w:t>ЗА ИСКЛЮЧЕНИЕМ УЧАСТКА НЕДР</w:t>
      </w:r>
    </w:p>
    <w:p w:rsidR="00000000" w:rsidRDefault="00C852AA">
      <w:pPr>
        <w:pStyle w:val="ConsPlusTitle"/>
        <w:jc w:val="center"/>
      </w:pPr>
      <w:r>
        <w:t>ФЕДЕРАЛЬНОГО ЗНАЧЕНИЯ И УЧАСТКА НЕДР, КОТОРЫЙ ОТНЕСЕН</w:t>
      </w:r>
    </w:p>
    <w:p w:rsidR="00000000" w:rsidRDefault="00C852AA">
      <w:pPr>
        <w:pStyle w:val="ConsPlusTitle"/>
        <w:jc w:val="center"/>
      </w:pPr>
      <w:r>
        <w:t>К УЧАСТКАМ НЕДР ФЕДЕРАЛЬНОГО ЗНАЧЕНИЯ В РЕЗУЛЬТАТЕ ОТКРЫТИЯ</w:t>
      </w:r>
    </w:p>
    <w:p w:rsidR="00000000" w:rsidRDefault="00C852AA">
      <w:pPr>
        <w:pStyle w:val="ConsPlusTitle"/>
        <w:jc w:val="center"/>
      </w:pPr>
      <w:r>
        <w:t>МЕСТОРОЖДЕНИЯ ПОЛЕЗНЫХ ИСКОПАЕМЫХ ПОЛЬЗОВАТЕЛЕМ НЕДР,</w:t>
      </w:r>
    </w:p>
    <w:p w:rsidR="00000000" w:rsidRDefault="00C852AA">
      <w:pPr>
        <w:pStyle w:val="ConsPlusTitle"/>
        <w:jc w:val="center"/>
      </w:pPr>
      <w:r>
        <w:t>ПРОВОДИВШИМ РАБОТЫ ПО ГЕОЛОГИЧЕСКОМУ ИЗУЧЕНИЮ НЕДР</w:t>
      </w:r>
    </w:p>
    <w:p w:rsidR="00000000" w:rsidRDefault="00C852AA">
      <w:pPr>
        <w:pStyle w:val="ConsPlusTitle"/>
        <w:jc w:val="center"/>
      </w:pPr>
      <w:r>
        <w:t>ЗА СЧЕТ СОБСТВЕННЫХ СРЕДСТВ ДЛЯ РАЗВЕДКИ И ДОБЫЧИ</w:t>
      </w:r>
    </w:p>
    <w:p w:rsidR="00000000" w:rsidRDefault="00C852AA">
      <w:pPr>
        <w:pStyle w:val="ConsPlusTitle"/>
        <w:jc w:val="center"/>
      </w:pPr>
      <w:r>
        <w:t>ПОЛЕЗНЫХ ИСКОПАЕМЫХ ОТКРЫТОГО МЕСТОРОЖДЕНИЯ</w:t>
      </w:r>
    </w:p>
    <w:p w:rsidR="00000000" w:rsidRDefault="00C852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</w:t>
            </w:r>
            <w:r>
              <w:rPr>
                <w:color w:val="392C69"/>
              </w:rPr>
              <w:t xml:space="preserve"> 20.06.2007 N 155,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Минприроды РФ от 24.12.2008 </w:t>
            </w:r>
            <w:hyperlink r:id="rId1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15.12.2009 </w:t>
            </w:r>
            <w:hyperlink r:id="rId11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852AA">
      <w:pPr>
        <w:pStyle w:val="ConsPlusNormal"/>
        <w:ind w:firstLine="540"/>
        <w:jc w:val="both"/>
      </w:pPr>
    </w:p>
    <w:p w:rsidR="00000000" w:rsidRDefault="00C852A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февраля 1992 г. N 2395-1 "О недрах" (Ведо</w:t>
      </w:r>
      <w:r>
        <w:t>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</w:t>
      </w:r>
      <w:r>
        <w:t xml:space="preserve"> 3429; 2002, N 22, ст. 2026; 2003, N 23, ст. 2174; 2004, N 27, ст. 2711; N 35, ст. 3607),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</w:t>
      </w:r>
      <w:r>
        <w:t xml:space="preserve">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N 32, ст. 3347),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прик</w:t>
      </w:r>
      <w:r>
        <w:t>азываю: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федерально</w:t>
      </w:r>
      <w:r>
        <w:t>го значения и участка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</w:t>
      </w:r>
      <w:r>
        <w:t>чи полезных ископаемых открытого месторождения.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</w:t>
      </w:r>
      <w:r>
        <w:lastRenderedPageBreak/>
        <w:t>Федерации от 13 сентября 2002 г. N 576 "Об утверждении Положения о порядке подготовки и рассмотрения материалов при пр</w:t>
      </w:r>
      <w:r>
        <w:t xml:space="preserve">едоставлении лицензий на пользование участками недр для целей разведки и добычи полезных ископаемых из месторождений, открытие которых осуществлено пользователями недр, проводившими работы по геологическому изучению таких участков недр за счет собственных </w:t>
      </w:r>
      <w:r>
        <w:t>средств" (зарегистрирован Министерством юстиции Российской Федерации 3 октября 2002 г., регистрационный N 3828).</w:t>
      </w:r>
    </w:p>
    <w:p w:rsidR="00000000" w:rsidRDefault="00C852AA">
      <w:pPr>
        <w:pStyle w:val="ConsPlusNormal"/>
        <w:ind w:firstLine="540"/>
        <w:jc w:val="both"/>
      </w:pPr>
    </w:p>
    <w:p w:rsidR="00000000" w:rsidRDefault="00C852AA">
      <w:pPr>
        <w:pStyle w:val="ConsPlusNormal"/>
        <w:jc w:val="right"/>
      </w:pPr>
      <w:r>
        <w:t>Министр</w:t>
      </w:r>
    </w:p>
    <w:p w:rsidR="00000000" w:rsidRDefault="00C852AA">
      <w:pPr>
        <w:pStyle w:val="ConsPlusNormal"/>
        <w:jc w:val="right"/>
      </w:pPr>
      <w:r>
        <w:t>Ю.П.ТРУТНЕВ</w:t>
      </w:r>
    </w:p>
    <w:p w:rsidR="00000000" w:rsidRDefault="00C852AA">
      <w:pPr>
        <w:pStyle w:val="ConsPlusNormal"/>
        <w:jc w:val="right"/>
      </w:pPr>
    </w:p>
    <w:p w:rsidR="00000000" w:rsidRDefault="00C852AA">
      <w:pPr>
        <w:pStyle w:val="ConsPlusNormal"/>
        <w:jc w:val="right"/>
      </w:pPr>
    </w:p>
    <w:p w:rsidR="00000000" w:rsidRDefault="00C852AA">
      <w:pPr>
        <w:pStyle w:val="ConsPlusNormal"/>
        <w:jc w:val="right"/>
      </w:pPr>
    </w:p>
    <w:p w:rsidR="00000000" w:rsidRDefault="00C852AA">
      <w:pPr>
        <w:pStyle w:val="ConsPlusNormal"/>
        <w:jc w:val="right"/>
      </w:pPr>
    </w:p>
    <w:p w:rsidR="00000000" w:rsidRDefault="00C852AA">
      <w:pPr>
        <w:pStyle w:val="ConsPlusNormal"/>
        <w:jc w:val="right"/>
      </w:pPr>
    </w:p>
    <w:p w:rsidR="00000000" w:rsidRDefault="00C852AA">
      <w:pPr>
        <w:pStyle w:val="ConsPlusNormal"/>
        <w:jc w:val="right"/>
        <w:outlineLvl w:val="0"/>
      </w:pPr>
      <w:r>
        <w:t>Приложение</w:t>
      </w:r>
    </w:p>
    <w:p w:rsidR="00000000" w:rsidRDefault="00C852AA">
      <w:pPr>
        <w:pStyle w:val="ConsPlusNormal"/>
        <w:ind w:firstLine="540"/>
        <w:jc w:val="both"/>
      </w:pPr>
    </w:p>
    <w:p w:rsidR="00000000" w:rsidRDefault="00C852AA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C852AA">
      <w:pPr>
        <w:pStyle w:val="ConsPlusTitle"/>
        <w:jc w:val="center"/>
      </w:pPr>
      <w:r>
        <w:t>РАССМОТРЕНИЯ ЗАЯВОК НА ПОЛУЧЕНИЕ</w:t>
      </w:r>
    </w:p>
    <w:p w:rsidR="00000000" w:rsidRDefault="00C852AA">
      <w:pPr>
        <w:pStyle w:val="ConsPlusTitle"/>
        <w:jc w:val="center"/>
      </w:pPr>
      <w:r>
        <w:t>ПРАВА ПОЛЬЗОВАНИЯ НЕДРАМИ ПРИ УСТАНОВЛЕНИИ</w:t>
      </w:r>
    </w:p>
    <w:p w:rsidR="00000000" w:rsidRDefault="00C852AA">
      <w:pPr>
        <w:pStyle w:val="ConsPlusTitle"/>
        <w:jc w:val="center"/>
      </w:pPr>
      <w:r>
        <w:t>ФАКТА ОТКРЫ</w:t>
      </w:r>
      <w:r>
        <w:t>ТИЯ МЕСТОРОЖДЕНИЯ ПОЛЕЗНЫХ ИСКОПАЕМЫХ</w:t>
      </w:r>
    </w:p>
    <w:p w:rsidR="00000000" w:rsidRDefault="00C852AA">
      <w:pPr>
        <w:pStyle w:val="ConsPlusTitle"/>
        <w:jc w:val="center"/>
      </w:pPr>
      <w:r>
        <w:t>НА УЧАСТКЕ НЕДР, ЗА ИСКЛЮЧЕНИЕМ УЧАСТКА НЕДР</w:t>
      </w:r>
    </w:p>
    <w:p w:rsidR="00000000" w:rsidRDefault="00C852AA">
      <w:pPr>
        <w:pStyle w:val="ConsPlusTitle"/>
        <w:jc w:val="center"/>
      </w:pPr>
      <w:r>
        <w:t>ФЕДЕРАЛЬНОГО ЗНАЧЕНИЯ И УЧАСТКА НЕДР, КОТОРЫЙ ОТНЕСЕН</w:t>
      </w:r>
    </w:p>
    <w:p w:rsidR="00000000" w:rsidRDefault="00C852AA">
      <w:pPr>
        <w:pStyle w:val="ConsPlusTitle"/>
        <w:jc w:val="center"/>
      </w:pPr>
      <w:r>
        <w:t>К УЧАСТКАМ НЕДР ФЕДЕРАЛЬНОГО ЗНАЧЕНИЯ В РЕЗУЛЬТАТЕ</w:t>
      </w:r>
    </w:p>
    <w:p w:rsidR="00000000" w:rsidRDefault="00C852AA">
      <w:pPr>
        <w:pStyle w:val="ConsPlusTitle"/>
        <w:jc w:val="center"/>
      </w:pPr>
      <w:r>
        <w:t>ОТКРЫТИЯ МЕСТОРОЖДЕНИЯ ПОЛЕЗНЫХ ИСКОПАЕМЫХ ПОЛЬЗОВАТЕЛЕМ</w:t>
      </w:r>
    </w:p>
    <w:p w:rsidR="00000000" w:rsidRDefault="00C852AA">
      <w:pPr>
        <w:pStyle w:val="ConsPlusTitle"/>
        <w:jc w:val="center"/>
      </w:pPr>
      <w:r>
        <w:t>НЕДР, ПРОВО</w:t>
      </w:r>
      <w:r>
        <w:t>ДИВШИМ РАБОТЫ ПО ГЕОЛОГИЧЕСКОМУ ИЗУЧЕНИЮ НЕДР</w:t>
      </w:r>
    </w:p>
    <w:p w:rsidR="00000000" w:rsidRDefault="00C852AA">
      <w:pPr>
        <w:pStyle w:val="ConsPlusTitle"/>
        <w:jc w:val="center"/>
      </w:pPr>
      <w:r>
        <w:t>ЗА СЧЕТ СОБСТВЕННЫХ СРЕДСТВ ДЛЯ РАЗВЕДКИ И ДОБЫЧИ</w:t>
      </w:r>
    </w:p>
    <w:p w:rsidR="00000000" w:rsidRDefault="00C852AA">
      <w:pPr>
        <w:pStyle w:val="ConsPlusTitle"/>
        <w:jc w:val="center"/>
      </w:pPr>
      <w:r>
        <w:t>ПОЛЕЗНЫХ ИСКОПАЕМЫХ ОТКРЫТОГО МЕСТОРОЖДЕНИЯ</w:t>
      </w:r>
    </w:p>
    <w:p w:rsidR="00000000" w:rsidRDefault="00C852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20.06.2007 N 155,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Минприроды РФ от 24.12.2008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00000" w:rsidRDefault="00C852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15.12.2009 </w:t>
            </w:r>
            <w:hyperlink r:id="rId19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852AA">
      <w:pPr>
        <w:pStyle w:val="ConsPlusNormal"/>
        <w:ind w:firstLine="540"/>
        <w:jc w:val="both"/>
      </w:pPr>
    </w:p>
    <w:p w:rsidR="00000000" w:rsidRDefault="00C852A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</w:t>
      </w:r>
      <w:r>
        <w:t xml:space="preserve">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3607),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</w:t>
      </w:r>
      <w:r>
        <w:t xml:space="preserve">рание законодательства Российской Федерации, 2004, N 31, ст. 3260; N 32, ст. 3347),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</w:t>
      </w:r>
      <w:r>
        <w:t>нным Постановлением Правительства Российской Федерации от 17 июня 2004 г. N 293 (Собрание законодательства Российской Федерации, 2004, N 26, ст. 2669), и регламентирует процедуру рассмотрения заявок на получение права пользования недрами при установлении ф</w:t>
      </w:r>
      <w:r>
        <w:t xml:space="preserve">акта открытия месторождения полезных ископаемых на участке недр, за исключением участка недр федерального значения и </w:t>
      </w:r>
      <w:r>
        <w:lastRenderedPageBreak/>
        <w:t>участка недр, который отнесен к участкам недр федерального значения в результате открытия месторождения полезных ископаемых пользователем н</w:t>
      </w:r>
      <w:r>
        <w:t>едр, проводившим работы по геологическому изучению недр за счет собственных средств для разведки и добычи полезных ископаемых открытого месторождения.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Действие настоящего Порядка не распространяется на предоставление права пользования недрами при установлении факта открытия месторождения полезных ископаемых на участке недр федерального значения или на </w:t>
      </w:r>
      <w:r>
        <w:t>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полезных ис</w:t>
      </w:r>
      <w:r>
        <w:t>копаемых открытого месторождения.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25" w:history="1">
        <w:r>
          <w:rPr>
            <w:color w:val="0000FF"/>
          </w:rPr>
          <w:t>пунктом 3 статьи 10.1</w:t>
        </w:r>
      </w:hyperlink>
      <w:r>
        <w:t xml:space="preserve"> Закона Российской Федерации "О недрах" право пользования участками недр при установлении факта открытия месторождения полезных ископаемых на участке недр пользователем не</w:t>
      </w:r>
      <w:r>
        <w:t xml:space="preserve">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</w:t>
      </w:r>
      <w:r>
        <w:t xml:space="preserve">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контрактом, возникает на основании решения комиссии, которая создается Федеральным агентством по недропользованию и </w:t>
      </w:r>
      <w:r>
        <w:t>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(далее - Комиссия).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Представители органа исполнительной власти соответствующего субъекта Российской Федерации включаются в состав Комиссии на основании пред</w:t>
      </w:r>
      <w:r>
        <w:t>ставления органа исполнительной власти соответствующего субъекта Российской Федерации.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В состав Комиссии по представлению Министерства природных ресурсов и экологии Российской Федерации включаются представители Министерства природных ресурсов и экологии Ро</w:t>
      </w:r>
      <w:r>
        <w:t>ссийской Федерации.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bookmarkStart w:id="1" w:name="Par64"/>
      <w:bookmarkEnd w:id="1"/>
      <w:r>
        <w:t>3. Заявка должна содержать: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наименование, организационно-правовую фо</w:t>
      </w:r>
      <w:r>
        <w:t>рму и место нахождения - для юридического лица;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фамилию, имя, отчество, место жительства, данные документа, удостоверяющего личность, - для индивидуального предпринимателя;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копии учредительных документов и документа, подтверждающего факт внесения записи о юридическом лице в Единый государственный реестр юридических лиц (с предъявлением оригиналов в случае, если копии не заверены нотариально);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lastRenderedPageBreak/>
        <w:t>копию свидетельства о государстве</w:t>
      </w:r>
      <w:r>
        <w:t>нной регистрации гражданина в качестве индивидуального предпринимателя (с предъявлением оригиналов в случае, если копии не заверены нотариально);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</w:t>
      </w:r>
      <w:r>
        <w:t>логоплательщика (с предъявлением оригиналов в случае, если копии не заверены нотариально);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решение уполномоченных органов управления заявителя о назначении единоличного исполнительного органа организации (с предъявлением оригиналов в случае, если копии не </w:t>
      </w:r>
      <w:r>
        <w:t xml:space="preserve">заверены нотариально) или доверенность, выданная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>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выписку из ре</w:t>
      </w:r>
      <w:r>
        <w:t>естра акционеров заявителя (для акционерных обществ);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копию бухгалтерского баланса заявителя за год, предшествующий подаче заявки, с отметкой налогового органа о его принятии;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документальные данные о наличии собственных средств на выполнение работ по разве</w:t>
      </w:r>
      <w:r>
        <w:t>дке и добыче полезных ископаемых;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справку налоговых органов о наличии (отсутствии) задолженности з</w:t>
      </w:r>
      <w:r>
        <w:t>аявителя по уплате налоговых платежей, а также платежей при пользовании недрами;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сведения о наличии технологического оборудования, квалифицированных специалистов для ведения работ на участке недр;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копии лицензий на осуществление отдельных видов деятельност</w:t>
      </w:r>
      <w:r>
        <w:t>и, связанных с пользованием недрами, или договоры с организациями, имеющими право на осуществление указанных видов деятельности;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данные о полученных заявителем лицензиях на пользование участками недр на территории Российской Федерации;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сведения о выполнени</w:t>
      </w:r>
      <w:r>
        <w:t>и заявителем условий пользования недрами;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предложения заявителя по условиям пользования недрами. Указанные предложения должны включать в себя сведения о планируемых объемах, видах и сроках разведочных работ, сведения о планируемых сроках ввода месторождени</w:t>
      </w:r>
      <w:r>
        <w:t>я полезных ископаемых в промышленное освоение, планируемых сроках выхода на проектную мощность, сведения о предполагаемых уровнях добычи минерального сырья, предлагаемых мероприятиях по охране недр и окружающей среды.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4. Кроме того, к заявке прилагаются следующие документы:</w:t>
      </w:r>
    </w:p>
    <w:p w:rsidR="00000000" w:rsidRDefault="00C852AA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свидетельство</w:t>
        </w:r>
      </w:hyperlink>
      <w:r>
        <w:t xml:space="preserve"> об установлении факта открытия месторождения полезных ископаемых, выданное заявителю в установленном </w:t>
      </w:r>
      <w:hyperlink r:id="rId32" w:history="1">
        <w:r>
          <w:rPr>
            <w:color w:val="0000FF"/>
          </w:rPr>
          <w:t>порядке</w:t>
        </w:r>
      </w:hyperlink>
      <w:r>
        <w:t>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lastRenderedPageBreak/>
        <w:t>документальные данные о проведенных заявителем работах по поискам и оценке месторождения полезных ископаемых на предоставленном ему в пользование участке недр за счет собственных (в том числе привлеченных) средств;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копия лицензии на пользование недрами для геологического изучения, включающего поиски и оценку месторождений полезных ископаемых, предоставленной заявителю на тот участок недр, на котором открыто месторождение полезных ископаемых, со всеми приложениями, до</w:t>
      </w:r>
      <w:r>
        <w:t>полнениями и изменениями;</w:t>
      </w:r>
    </w:p>
    <w:p w:rsidR="00000000" w:rsidRDefault="00C852A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Минприроды РФ от 24.12.2008 N 344)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абзацы четвертый - шестой исключены.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Минприроды РФ от 24.12.2008 N 344.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При необходимости у заявителя могут быть запрошены дополнительные материалы и сведения, уточняющие данные, изложенные в заявке.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5. За</w:t>
      </w:r>
      <w:r>
        <w:t xml:space="preserve">явка подается в Федеральное агентство по недропользованию или его территориальные органы не позднее 6 месяцев с даты получения </w:t>
      </w:r>
      <w:hyperlink r:id="rId35" w:history="1">
        <w:r>
          <w:rPr>
            <w:color w:val="0000FF"/>
          </w:rPr>
          <w:t>свидетельства</w:t>
        </w:r>
      </w:hyperlink>
      <w:r>
        <w:t xml:space="preserve"> об уста</w:t>
      </w:r>
      <w:r>
        <w:t xml:space="preserve">новлении факта открытия месторождения полезных ископаемых на соответствующем участке недр, которое в течение 45 дней рассматривает прилагаемые к заявке предложения заявителя по условиям пользования недрами, указанные в </w:t>
      </w:r>
      <w:hyperlink w:anchor="Par64" w:tooltip="3. Заявка должна содержать:" w:history="1">
        <w:r>
          <w:rPr>
            <w:color w:val="0000FF"/>
          </w:rPr>
          <w:t>пункте 3</w:t>
        </w:r>
      </w:hyperlink>
      <w:r>
        <w:t xml:space="preserve"> настоящего Порядка, на предмет соответствия их требованиям по рациональному использованию и охране недр.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</w:t>
      </w:r>
      <w:r>
        <w:t>ПР РФ от 20.06.2007 N 155)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6. В случае если по результатам рассмотрения предложения заявителя по условиям пользования недрами признаются соответствующими требованиям по рациональному использованию и охране недр, то на их основе Федеральным агентством по не</w:t>
      </w:r>
      <w:r>
        <w:t>дропользованию или его территориальным органом в течение 60 дней подготавливается проект условий пользования недрами.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МПР РФ от 20.06</w:t>
      </w:r>
      <w:r>
        <w:t>.2007 N 155)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Минприроды РФ от 15.12.2009 N 416.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В случае если по результатам рассмотрения предложений заявителя по условиям пользования недрами будет установлено, что указанные предложения не соответствуют или не в полной мере соответствуют требованиям по рациональному использованию и охране недр, то за</w:t>
      </w:r>
      <w:r>
        <w:t>явителю направляется письменное предложение о доработке условий пользования недрами и представлении их на повторное рассмотрение.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Подготовленный проект условий пользования недрами совместно с комплектом материалов заявки, указанным в </w:t>
      </w:r>
      <w:hyperlink w:anchor="Par64" w:tooltip="3. Заявка должна содержать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3" w:tooltip="4. Кроме того, к заявке прилагаются следующие документы:" w:history="1">
        <w:r>
          <w:rPr>
            <w:color w:val="0000FF"/>
          </w:rPr>
          <w:t>4</w:t>
        </w:r>
      </w:hyperlink>
      <w:r>
        <w:t xml:space="preserve"> настоящего Порядка, направляется в Комиссию для рассмотрения и принятия решения.</w:t>
      </w:r>
    </w:p>
    <w:p w:rsidR="00000000" w:rsidRDefault="00C852A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РФ от 15.12.2009 N 416)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7. Заявочные материалы на получение права пользования участками недр рассматриваются на заседании Комиссии в течение 30 дней с даты поступлени</w:t>
      </w:r>
      <w:r>
        <w:t>я материалов.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8. При рассмотрении заявки Комиссия определяет соответствие представленных заявителем материалов требованиям, установленным </w:t>
      </w:r>
      <w:hyperlink r:id="rId40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Российской Федерации о недрах.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lastRenderedPageBreak/>
        <w:t>9. Решение Комиссии о предоставлении заявителю права пользования участком недр или об отказе в удовлетворении заявки принимается открытым голосованием и оформляется протоколом, который подписывается председателем и се</w:t>
      </w:r>
      <w:r>
        <w:t>кретарем Комиссии.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10. Заседание Комиссии считается правомочным, если на нем присутствует не менее половины от списочного состава членов Комиссии.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11. Члены Комиссии не вправе делегировать свои полномочия другим лицам, в том числе другим членам Комиссии. В</w:t>
      </w:r>
      <w:r>
        <w:t xml:space="preserve">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12. Решения Комиссии принимаются простым большинством голосов членов Комиссии как присутствующих на заседании, так и отсут</w:t>
      </w:r>
      <w:r>
        <w:t>ствующих, выразивших свое мнение в письменной форме.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В случае равенства голосов решающим является голос председателя Комиссии.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Особое мнение членов Комиссии, голосовавших против принятого решения, излагается в письменном виде и прилагается к решению Комисс</w:t>
      </w:r>
      <w:r>
        <w:t>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13. Отказ в приеме заявки на предоставление права пользования участком недр в соответствии со </w:t>
      </w:r>
      <w:hyperlink r:id="rId41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недрах" </w:t>
      </w:r>
      <w:r>
        <w:t>может последовать в следующих случаях: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1) заявка на предоставление лицензии подана с нарушением установленных требований;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2) заявитель умышленно представил о себе неверные сведения;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 xml:space="preserve">3) заявитель не представил и не может представить доказательств того, что </w:t>
      </w:r>
      <w:r>
        <w:t>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Документами, подтверждающими наличие у заявителя финансовых средств, являются: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- копия бухгалт</w:t>
      </w:r>
      <w:r>
        <w:t>ерского баланса заявителя за год, предшествующий подаче заявки, с отметкой налогового органа о его принятии;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- документальные данные о наличии у заявителя собственных средств (справки из банковских учреждений о состоянии счетов заявителя) или документальны</w:t>
      </w:r>
      <w:r>
        <w:t>е данные о наличии привлеченных средств (договоры займа, договоры кредита);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- справка из налоговых органов об отсутствии задолженности заявителя по уплате налогов в бюджеты всех уровней.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Документами, подтверждающими наличие у заявителя технических средств,</w:t>
      </w:r>
      <w:r>
        <w:t xml:space="preserve"> являются документальные данные о наличии технологического оборудования, квалифицированных специалистов или копии договоров с организациями, имеющими соответствующее технологическое оборудование и квалифицированных специалистов;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lastRenderedPageBreak/>
        <w:t>4) если в случае предоставл</w:t>
      </w:r>
      <w:r>
        <w:t>ения права пользования недрами данному заявителю не будут соблюдены антимонопольные требования.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14. Принятое решение о предоставлении права пользования участком недр с приложением проекта условий пользования недрами направляется Комиссией в Федеральное аге</w:t>
      </w:r>
      <w:r>
        <w:t xml:space="preserve">нтство по недропользованию или его территориальные органы для оформления и выдачи лицензии в порядке, установленном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:rsidR="00000000" w:rsidRDefault="00C852AA">
      <w:pPr>
        <w:pStyle w:val="ConsPlusNormal"/>
        <w:spacing w:before="240"/>
        <w:ind w:firstLine="540"/>
        <w:jc w:val="both"/>
      </w:pPr>
      <w:r>
        <w:t>15. Решение об отнесении участка недр, на который была подана заявка, к нераспределенному фонду недр или предоставлении права пользования этим участком недр другому лицу принимается только после отказа в удовлетворении заявки на предоставление прав</w:t>
      </w:r>
      <w:r>
        <w:t>а пользования участком недр заявителю.</w:t>
      </w:r>
    </w:p>
    <w:p w:rsidR="00000000" w:rsidRDefault="00C852AA">
      <w:pPr>
        <w:pStyle w:val="ConsPlusNormal"/>
        <w:ind w:firstLine="540"/>
        <w:jc w:val="both"/>
      </w:pPr>
    </w:p>
    <w:p w:rsidR="00000000" w:rsidRDefault="00C852AA">
      <w:pPr>
        <w:pStyle w:val="ConsPlusNormal"/>
        <w:ind w:firstLine="540"/>
        <w:jc w:val="both"/>
      </w:pPr>
    </w:p>
    <w:p w:rsidR="00C852AA" w:rsidRDefault="00C85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52AA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AA" w:rsidRDefault="00C852AA">
      <w:pPr>
        <w:spacing w:after="0" w:line="240" w:lineRule="auto"/>
      </w:pPr>
      <w:r>
        <w:separator/>
      </w:r>
    </w:p>
  </w:endnote>
  <w:endnote w:type="continuationSeparator" w:id="0">
    <w:p w:rsidR="00C852AA" w:rsidRDefault="00C8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52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47D0B">
            <w:rPr>
              <w:sz w:val="20"/>
              <w:szCs w:val="20"/>
            </w:rPr>
            <w:fldChar w:fldCharType="separate"/>
          </w:r>
          <w:r w:rsidR="00247D0B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47D0B">
            <w:rPr>
              <w:sz w:val="20"/>
              <w:szCs w:val="20"/>
            </w:rPr>
            <w:fldChar w:fldCharType="separate"/>
          </w:r>
          <w:r w:rsidR="00247D0B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852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AA" w:rsidRDefault="00C852AA">
      <w:pPr>
        <w:spacing w:after="0" w:line="240" w:lineRule="auto"/>
      </w:pPr>
      <w:r>
        <w:separator/>
      </w:r>
    </w:p>
  </w:footnote>
  <w:footnote w:type="continuationSeparator" w:id="0">
    <w:p w:rsidR="00C852AA" w:rsidRDefault="00C8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МПР РФ от 24</w:t>
          </w:r>
          <w:r>
            <w:rPr>
              <w:sz w:val="16"/>
              <w:szCs w:val="16"/>
            </w:rPr>
            <w:t>.01.2005 N 23</w:t>
          </w:r>
          <w:r>
            <w:rPr>
              <w:sz w:val="16"/>
              <w:szCs w:val="16"/>
            </w:rPr>
            <w:br/>
            <w:t>(ред. от 15.12.2009)</w:t>
          </w:r>
          <w:r>
            <w:rPr>
              <w:sz w:val="16"/>
              <w:szCs w:val="16"/>
            </w:rPr>
            <w:br/>
            <w:t>"Об утверждении Порядка рассмотрения заявок на получение права 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jc w:val="center"/>
          </w:pPr>
        </w:p>
        <w:p w:rsidR="00000000" w:rsidRDefault="00C852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2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C852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52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1A03"/>
    <w:rsid w:val="00247D0B"/>
    <w:rsid w:val="002E1A03"/>
    <w:rsid w:val="00C8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68589&amp;date=14.09.2020&amp;dst=100019&amp;fld=134" TargetMode="External"/><Relationship Id="rId18" Type="http://schemas.openxmlformats.org/officeDocument/2006/relationships/hyperlink" Target="https://login.consultant.ru/link/?req=doc&amp;base=LAW&amp;n=84676&amp;date=14.09.2020&amp;dst=100011&amp;fld=134" TargetMode="External"/><Relationship Id="rId26" Type="http://schemas.openxmlformats.org/officeDocument/2006/relationships/hyperlink" Target="https://login.consultant.ru/link/?req=doc&amp;base=LAW&amp;n=84676&amp;date=14.09.2020&amp;dst=100013&amp;fld=134" TargetMode="External"/><Relationship Id="rId39" Type="http://schemas.openxmlformats.org/officeDocument/2006/relationships/hyperlink" Target="https://login.consultant.ru/link/?req=doc&amp;base=LAW&amp;n=97331&amp;date=14.09.2020&amp;dst=10000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68589&amp;date=14.09.2020&amp;dst=100019&amp;fld=134" TargetMode="External"/><Relationship Id="rId34" Type="http://schemas.openxmlformats.org/officeDocument/2006/relationships/hyperlink" Target="https://login.consultant.ru/link/?req=doc&amp;base=LAW&amp;n=84676&amp;date=14.09.2020&amp;dst=100017&amp;fld=134" TargetMode="External"/><Relationship Id="rId42" Type="http://schemas.openxmlformats.org/officeDocument/2006/relationships/hyperlink" Target="https://login.consultant.ru/link/?req=doc&amp;base=LAW&amp;n=354578&amp;date=14.09.2020&amp;dst=100138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54578&amp;date=14.09.2020&amp;dst=100683&amp;fld=134" TargetMode="External"/><Relationship Id="rId17" Type="http://schemas.openxmlformats.org/officeDocument/2006/relationships/hyperlink" Target="https://login.consultant.ru/link/?req=doc&amp;base=LAW&amp;n=69581&amp;date=14.09.2020&amp;dst=100006&amp;fld=134" TargetMode="External"/><Relationship Id="rId25" Type="http://schemas.openxmlformats.org/officeDocument/2006/relationships/hyperlink" Target="https://login.consultant.ru/link/?req=doc&amp;base=LAW&amp;n=354578&amp;date=14.09.2020&amp;dst=100626&amp;fld=134" TargetMode="External"/><Relationship Id="rId33" Type="http://schemas.openxmlformats.org/officeDocument/2006/relationships/hyperlink" Target="https://login.consultant.ru/link/?req=doc&amp;base=LAW&amp;n=84676&amp;date=14.09.2020&amp;dst=100018&amp;fld=134" TargetMode="External"/><Relationship Id="rId38" Type="http://schemas.openxmlformats.org/officeDocument/2006/relationships/hyperlink" Target="https://login.consultant.ru/link/?req=doc&amp;base=LAW&amp;n=97331&amp;date=14.09.2020&amp;dst=100007&amp;fld=134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020&amp;date=14.09.2020" TargetMode="External"/><Relationship Id="rId20" Type="http://schemas.openxmlformats.org/officeDocument/2006/relationships/hyperlink" Target="https://login.consultant.ru/link/?req=doc&amp;base=LAW&amp;n=354578&amp;date=14.09.2020&amp;dst=100683&amp;fld=134" TargetMode="External"/><Relationship Id="rId29" Type="http://schemas.openxmlformats.org/officeDocument/2006/relationships/hyperlink" Target="https://login.consultant.ru/link/?req=doc&amp;base=LAW&amp;n=84676&amp;date=14.09.2020&amp;dst=100016&amp;fld=134" TargetMode="External"/><Relationship Id="rId41" Type="http://schemas.openxmlformats.org/officeDocument/2006/relationships/hyperlink" Target="https://login.consultant.ru/link/?req=doc&amp;base=LAW&amp;n=354578&amp;date=14.09.2020&amp;dst=10017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97331&amp;date=14.09.2020&amp;dst=100006&amp;fld=134" TargetMode="External"/><Relationship Id="rId24" Type="http://schemas.openxmlformats.org/officeDocument/2006/relationships/hyperlink" Target="https://login.consultant.ru/link/?req=doc&amp;base=LAW&amp;n=84676&amp;date=14.09.2020&amp;dst=100012&amp;fld=134" TargetMode="External"/><Relationship Id="rId32" Type="http://schemas.openxmlformats.org/officeDocument/2006/relationships/hyperlink" Target="https://login.consultant.ru/link/?req=doc&amp;base=LAW&amp;n=134390&amp;date=14.09.2020&amp;dst=100010&amp;fld=134" TargetMode="External"/><Relationship Id="rId37" Type="http://schemas.openxmlformats.org/officeDocument/2006/relationships/hyperlink" Target="https://login.consultant.ru/link/?req=doc&amp;base=LAW&amp;n=69581&amp;date=14.09.2020&amp;dst=100014&amp;fld=134" TargetMode="External"/><Relationship Id="rId40" Type="http://schemas.openxmlformats.org/officeDocument/2006/relationships/hyperlink" Target="https://login.consultant.ru/link/?req=doc&amp;base=LAW&amp;n=354578&amp;date=14.09.2020&amp;dst=100082&amp;fld=13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84676&amp;date=14.09.2020&amp;dst=100010&amp;fld=134" TargetMode="External"/><Relationship Id="rId23" Type="http://schemas.openxmlformats.org/officeDocument/2006/relationships/hyperlink" Target="https://login.consultant.ru/link/?req=doc&amp;base=LAW&amp;n=84676&amp;date=14.09.2020&amp;dst=100011&amp;fld=134" TargetMode="External"/><Relationship Id="rId28" Type="http://schemas.openxmlformats.org/officeDocument/2006/relationships/hyperlink" Target="https://login.consultant.ru/link/?req=doc&amp;base=LAW&amp;n=358825&amp;date=14.09.2020&amp;dst=101017&amp;fld=134" TargetMode="External"/><Relationship Id="rId36" Type="http://schemas.openxmlformats.org/officeDocument/2006/relationships/hyperlink" Target="https://login.consultant.ru/link/?req=doc&amp;base=LAW&amp;n=69581&amp;date=14.09.2020&amp;dst=100010&amp;fld=134" TargetMode="External"/><Relationship Id="rId10" Type="http://schemas.openxmlformats.org/officeDocument/2006/relationships/hyperlink" Target="https://login.consultant.ru/link/?req=doc&amp;base=LAW&amp;n=84676&amp;date=14.09.2020&amp;dst=100006&amp;fld=134" TargetMode="External"/><Relationship Id="rId19" Type="http://schemas.openxmlformats.org/officeDocument/2006/relationships/hyperlink" Target="https://login.consultant.ru/link/?req=doc&amp;base=LAW&amp;n=97331&amp;date=14.09.2020&amp;dst=100006&amp;fld=134" TargetMode="External"/><Relationship Id="rId31" Type="http://schemas.openxmlformats.org/officeDocument/2006/relationships/hyperlink" Target="https://login.consultant.ru/link/?req=doc&amp;base=LAW&amp;n=134390&amp;date=14.09.2020&amp;dst=100039&amp;fld=13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69581&amp;date=14.09.2020&amp;dst=100006&amp;fld=134" TargetMode="External"/><Relationship Id="rId14" Type="http://schemas.openxmlformats.org/officeDocument/2006/relationships/hyperlink" Target="https://login.consultant.ru/link/?req=doc&amp;base=LAW&amp;n=201849&amp;date=14.09.2020&amp;dst=100029&amp;fld=134" TargetMode="External"/><Relationship Id="rId22" Type="http://schemas.openxmlformats.org/officeDocument/2006/relationships/hyperlink" Target="https://login.consultant.ru/link/?req=doc&amp;base=LAW&amp;n=201849&amp;date=14.09.2020&amp;dst=100029&amp;fld=134" TargetMode="External"/><Relationship Id="rId27" Type="http://schemas.openxmlformats.org/officeDocument/2006/relationships/hyperlink" Target="https://login.consultant.ru/link/?req=doc&amp;base=LAW&amp;n=84676&amp;date=14.09.2020&amp;dst=100020&amp;fld=134" TargetMode="External"/><Relationship Id="rId30" Type="http://schemas.openxmlformats.org/officeDocument/2006/relationships/hyperlink" Target="https://login.consultant.ru/link/?req=doc&amp;base=LAW&amp;n=84676&amp;date=14.09.2020&amp;dst=100015&amp;fld=134" TargetMode="External"/><Relationship Id="rId35" Type="http://schemas.openxmlformats.org/officeDocument/2006/relationships/hyperlink" Target="https://login.consultant.ru/link/?req=doc&amp;base=LAW&amp;n=134390&amp;date=14.09.2020&amp;dst=100039&amp;fld=134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3025</Words>
  <Characters>17249</Characters>
  <Application>Microsoft Office Word</Application>
  <DocSecurity>2</DocSecurity>
  <Lines>143</Lines>
  <Paragraphs>40</Paragraphs>
  <ScaleCrop>false</ScaleCrop>
  <Company>КонсультантПлюс Версия 4018.00.50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МПР РФ от 24.01.2005 N 23(ред. от 15.12.2009)"Об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</dc:title>
  <dc:creator>Анна</dc:creator>
  <cp:lastModifiedBy>Анна</cp:lastModifiedBy>
  <cp:revision>2</cp:revision>
  <dcterms:created xsi:type="dcterms:W3CDTF">2020-09-14T11:45:00Z</dcterms:created>
  <dcterms:modified xsi:type="dcterms:W3CDTF">2020-09-14T11:45:00Z</dcterms:modified>
</cp:coreProperties>
</file>