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141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321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08.07.2010 N 254</w:t>
            </w:r>
            <w:r>
              <w:rPr>
                <w:sz w:val="48"/>
                <w:szCs w:val="48"/>
              </w:rPr>
              <w:br/>
              <w:t>(ред. от 20.09.2019)</w:t>
            </w:r>
            <w:r>
              <w:rPr>
                <w:sz w:val="48"/>
                <w:szCs w:val="48"/>
              </w:rPr>
              <w:br/>
              <w:t>"Об утверждении требований к структуре и оформлению проектной документации на разработку месторождений углеводородного сырья"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17.09.2010 N 18468)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321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32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3211D">
      <w:pPr>
        <w:pStyle w:val="ConsPlusNormal"/>
        <w:jc w:val="both"/>
        <w:outlineLvl w:val="0"/>
      </w:pPr>
    </w:p>
    <w:p w:rsidR="00000000" w:rsidRDefault="00D3211D">
      <w:pPr>
        <w:pStyle w:val="ConsPlusNormal"/>
        <w:jc w:val="both"/>
        <w:outlineLvl w:val="0"/>
      </w:pPr>
      <w:r>
        <w:t>Зарегистрировано в Минюсте России 17 сентября 2010 г. N 18468</w:t>
      </w:r>
    </w:p>
    <w:p w:rsidR="00000000" w:rsidRDefault="00D32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3211D">
      <w:pPr>
        <w:pStyle w:val="ConsPlusNormal"/>
        <w:jc w:val="center"/>
      </w:pPr>
    </w:p>
    <w:p w:rsidR="00000000" w:rsidRDefault="00D3211D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D3211D">
      <w:pPr>
        <w:pStyle w:val="ConsPlusTitle"/>
        <w:jc w:val="center"/>
      </w:pPr>
      <w:r>
        <w:t>РОССИЙСКОЙ ФЕДЕРАЦИИ</w:t>
      </w:r>
    </w:p>
    <w:p w:rsidR="00000000" w:rsidRDefault="00D3211D">
      <w:pPr>
        <w:pStyle w:val="ConsPlusTitle"/>
        <w:jc w:val="center"/>
      </w:pPr>
    </w:p>
    <w:p w:rsidR="00000000" w:rsidRDefault="00D3211D">
      <w:pPr>
        <w:pStyle w:val="ConsPlusTitle"/>
        <w:jc w:val="center"/>
      </w:pPr>
      <w:r>
        <w:t>ПРИКАЗ</w:t>
      </w:r>
    </w:p>
    <w:p w:rsidR="00000000" w:rsidRDefault="00D3211D">
      <w:pPr>
        <w:pStyle w:val="ConsPlusTitle"/>
        <w:jc w:val="center"/>
      </w:pPr>
      <w:r>
        <w:t>от 8 июля 2010 г. N 254</w:t>
      </w:r>
    </w:p>
    <w:p w:rsidR="00000000" w:rsidRDefault="00D3211D">
      <w:pPr>
        <w:pStyle w:val="ConsPlusTitle"/>
        <w:jc w:val="center"/>
      </w:pPr>
    </w:p>
    <w:p w:rsidR="00000000" w:rsidRDefault="00D3211D">
      <w:pPr>
        <w:pStyle w:val="ConsPlusTitle"/>
        <w:jc w:val="center"/>
      </w:pPr>
      <w:r>
        <w:t>ОБ УТВЕРЖДЕНИИ ТРЕБОВАНИЙ</w:t>
      </w:r>
    </w:p>
    <w:p w:rsidR="00000000" w:rsidRDefault="00D3211D">
      <w:pPr>
        <w:pStyle w:val="ConsPlusTitle"/>
        <w:jc w:val="center"/>
      </w:pPr>
      <w:r>
        <w:t>К СТРУКТУРЕ И ОФОРМЛЕНИЮ ПРОЕКТНОЙ ДОКУМЕНТАЦИИ</w:t>
      </w:r>
    </w:p>
    <w:p w:rsidR="00000000" w:rsidRDefault="00D3211D">
      <w:pPr>
        <w:pStyle w:val="ConsPlusTitle"/>
        <w:jc w:val="center"/>
      </w:pPr>
      <w:r>
        <w:t>НА РАЗРАБОТКУ МЕСТОРО</w:t>
      </w:r>
      <w:r>
        <w:t>ЖДЕНИЙ УГЛЕВОДОРОДНОГО СЫРЬЯ</w:t>
      </w:r>
    </w:p>
    <w:p w:rsidR="00000000" w:rsidRDefault="00D321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32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32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Минприроды России от 15.07.2011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000000" w:rsidRDefault="00D32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09.04.2012 </w:t>
            </w:r>
            <w:hyperlink r:id="rId1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20.09.2019 </w:t>
            </w:r>
            <w:hyperlink r:id="rId11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  <w:r>
        <w:t>В соответст</w:t>
      </w:r>
      <w:r>
        <w:t xml:space="preserve">вии с </w:t>
      </w:r>
      <w:hyperlink r:id="rId12" w:history="1">
        <w:r>
          <w:rPr>
            <w:color w:val="0000FF"/>
          </w:rPr>
          <w:t>пунктом 14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</w:t>
      </w:r>
      <w:r>
        <w:t>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</w:t>
      </w:r>
      <w:r>
        <w:t xml:space="preserve">ийской Федерации, 2010, N 10, ст. 1100),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</w:t>
      </w:r>
      <w:r>
        <w:t>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 2010, N 5, ст</w:t>
      </w:r>
      <w:r>
        <w:t>. 538, N 10, ст. 1094, N 14, ст. 1656), приказываю: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1" w:tooltip="ТРЕБОВАНИЯ" w:history="1">
        <w:r>
          <w:rPr>
            <w:color w:val="0000FF"/>
          </w:rPr>
          <w:t>требования</w:t>
        </w:r>
      </w:hyperlink>
      <w:r>
        <w:t xml:space="preserve"> к структуре и оформлению проектной документации на разработку месторождений углеводородного сырья.</w:t>
      </w: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jc w:val="right"/>
      </w:pPr>
      <w:r>
        <w:t>Министр</w:t>
      </w:r>
    </w:p>
    <w:p w:rsidR="00000000" w:rsidRDefault="00D3211D">
      <w:pPr>
        <w:pStyle w:val="ConsPlusNormal"/>
        <w:jc w:val="right"/>
      </w:pPr>
      <w:r>
        <w:t>Ю.П.ТРУТНЕВ</w:t>
      </w: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jc w:val="right"/>
        <w:outlineLvl w:val="0"/>
      </w:pPr>
      <w:r>
        <w:t>Приложен</w:t>
      </w:r>
      <w:r>
        <w:t>ие</w:t>
      </w:r>
    </w:p>
    <w:p w:rsidR="00000000" w:rsidRDefault="00D3211D">
      <w:pPr>
        <w:pStyle w:val="ConsPlusNormal"/>
        <w:jc w:val="right"/>
      </w:pPr>
      <w:r>
        <w:t>к Приказу Минприроды России</w:t>
      </w:r>
    </w:p>
    <w:p w:rsidR="00000000" w:rsidRDefault="00D3211D">
      <w:pPr>
        <w:pStyle w:val="ConsPlusNormal"/>
        <w:jc w:val="right"/>
      </w:pPr>
      <w:r>
        <w:t>от 8 июля 2010 г. N 254</w:t>
      </w: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Title"/>
        <w:jc w:val="center"/>
      </w:pPr>
      <w:bookmarkStart w:id="0" w:name="Par31"/>
      <w:bookmarkEnd w:id="0"/>
      <w:r>
        <w:t>ТРЕБОВАНИЯ</w:t>
      </w:r>
    </w:p>
    <w:p w:rsidR="00000000" w:rsidRDefault="00D3211D">
      <w:pPr>
        <w:pStyle w:val="ConsPlusTitle"/>
        <w:jc w:val="center"/>
      </w:pPr>
      <w:r>
        <w:t>К СТРУКТУРЕ И ОФОРМЛЕНИЮ ПРОЕКТНОЙ ДОКУМЕНТАЦИИ</w:t>
      </w:r>
    </w:p>
    <w:p w:rsidR="00000000" w:rsidRDefault="00D3211D">
      <w:pPr>
        <w:pStyle w:val="ConsPlusTitle"/>
        <w:jc w:val="center"/>
      </w:pPr>
      <w:r>
        <w:t>НА РАЗРАБОТКУ МЕСТОРОЖДЕНИЙ УГЛЕВОДОРОДНОГО СЫРЬЯ</w:t>
      </w:r>
    </w:p>
    <w:p w:rsidR="00000000" w:rsidRDefault="00D321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32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32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Минприроды России от 15.07.2011 </w:t>
            </w:r>
            <w:hyperlink r:id="rId1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000000" w:rsidRDefault="00D32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09.04.2012 </w:t>
            </w:r>
            <w:hyperlink r:id="rId1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 от 20.09.2019</w:t>
            </w:r>
            <w:r>
              <w:rPr>
                <w:color w:val="392C69"/>
              </w:rPr>
              <w:t xml:space="preserve"> </w:t>
            </w:r>
            <w:hyperlink r:id="rId1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Title"/>
        <w:jc w:val="center"/>
        <w:outlineLvl w:val="1"/>
      </w:pPr>
      <w:r>
        <w:t>I. Требования к структуре проекта опытной (пробной)</w:t>
      </w:r>
    </w:p>
    <w:p w:rsidR="00000000" w:rsidRDefault="00D3211D">
      <w:pPr>
        <w:pStyle w:val="ConsPlusTitle"/>
        <w:jc w:val="center"/>
      </w:pPr>
      <w:r>
        <w:t>эксплуатации поисковой скважины и проекта пробной</w:t>
      </w:r>
    </w:p>
    <w:p w:rsidR="00000000" w:rsidRDefault="00D3211D">
      <w:pPr>
        <w:pStyle w:val="ConsPlusTitle"/>
        <w:jc w:val="center"/>
      </w:pPr>
      <w:r>
        <w:t>эксплуатации единичных разведочных с</w:t>
      </w:r>
      <w:r>
        <w:t>кважин</w:t>
      </w: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  <w:r>
        <w:t>1. Проект опытной (пробной) эксплуатации поисковой скважины и проект пробной эксплуатации единичной разведочной скважины должен включать: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1.1. Титульный лист.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1.2. Список исполнителей.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1.3. Содержание.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1.4. Список таблиц.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1.5. Список рисунков.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1.6. Список табличных приложений.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1.7. Список графических приложений.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1.8. Введение: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1.8.1. Общие сведения об участке недр;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1.8.2. История геологического изучения участка;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1.8.3. Краткие сведения о районе работ, его обустроенности.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1.8.4. Основные цели сос</w:t>
      </w:r>
      <w:r>
        <w:t>тавления представляемого проектного документа.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1.9. Сведения о недропользователе.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1.10. Геолого-физическая характеристика продуктивных пластов (объекта пробной эксплуатации).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1.10.1. Геофизические исследования скважин в процессе бурения.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1.10.2. Промыслово</w:t>
      </w:r>
      <w:r>
        <w:t>-геофизические исследования скважин.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1.10.3. Результаты опробования.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1.10.4. Оценка запасов углеводородов.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lastRenderedPageBreak/>
        <w:t>1.11. Конструкция скважины, ее техническое состояние и методы вскрытия пласта.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1.12. Техника и технология добычи углеводородного сырья: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1.12.1. Обосн</w:t>
      </w:r>
      <w:r>
        <w:t>ование способов эксплуатации скважин и техники добычи углеводородов.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1.12.2. Обустройство скважины и транспортировка углеводородов.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1.12.3. Годовая производительность, объемы добычи.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1.13. Программа исследовательских работ.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1.14. Мероприятия по безопасному</w:t>
      </w:r>
      <w:r>
        <w:t xml:space="preserve"> ведению работ, связанных с пользованием недр.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1.15. Мероприятия по обеспечению требований в области охраны окружающей среды и обеспечения экологической безопасности при пользовании недрами.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1.16. Сроки и условия выполнения работ по консервации и (или) лик</w:t>
      </w:r>
      <w:r>
        <w:t>видации скважины, а также рекультивации земель.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1.17. Заключение.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1.18. Табличные приложения.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1.19. Графические приложения.</w:t>
      </w: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Title"/>
        <w:jc w:val="center"/>
        <w:outlineLvl w:val="1"/>
      </w:pPr>
      <w:r>
        <w:t>II. Требования к структуре проекта</w:t>
      </w:r>
    </w:p>
    <w:p w:rsidR="00000000" w:rsidRDefault="00D3211D">
      <w:pPr>
        <w:pStyle w:val="ConsPlusTitle"/>
        <w:jc w:val="center"/>
      </w:pPr>
      <w:r>
        <w:t>пробной эксплуатации месторождения (залежи),</w:t>
      </w:r>
    </w:p>
    <w:p w:rsidR="00000000" w:rsidRDefault="00D3211D">
      <w:pPr>
        <w:pStyle w:val="ConsPlusTitle"/>
        <w:jc w:val="center"/>
      </w:pPr>
      <w:r>
        <w:t>технологической схемы опытно</w:t>
      </w:r>
      <w:r>
        <w:t>-промышленной разработки</w:t>
      </w:r>
    </w:p>
    <w:p w:rsidR="00000000" w:rsidRDefault="00D3211D">
      <w:pPr>
        <w:pStyle w:val="ConsPlusTitle"/>
        <w:jc w:val="center"/>
      </w:pPr>
      <w:r>
        <w:t>месторождения, залежей или участков залежей технологической</w:t>
      </w:r>
    </w:p>
    <w:p w:rsidR="00000000" w:rsidRDefault="00D3211D">
      <w:pPr>
        <w:pStyle w:val="ConsPlusTitle"/>
        <w:jc w:val="center"/>
      </w:pPr>
      <w:r>
        <w:t>схемы разработки и технологического проекта разработки</w:t>
      </w:r>
    </w:p>
    <w:p w:rsidR="00000000" w:rsidRDefault="00D3211D">
      <w:pPr>
        <w:pStyle w:val="ConsPlusNormal"/>
        <w:jc w:val="center"/>
      </w:pPr>
    </w:p>
    <w:p w:rsidR="00000000" w:rsidRDefault="00D3211D">
      <w:pPr>
        <w:pStyle w:val="ConsPlusNormal"/>
        <w:ind w:firstLine="540"/>
        <w:jc w:val="both"/>
      </w:pPr>
      <w:r>
        <w:t xml:space="preserve">Глава утратила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Минприроды России от 20.09.2019 N 639.</w:t>
      </w:r>
    </w:p>
    <w:p w:rsidR="00000000" w:rsidRDefault="00D3211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321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321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гл. III </w:t>
            </w:r>
            <w:hyperlink r:id="rId18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проектной документаци</w:t>
            </w:r>
            <w:r>
              <w:rPr>
                <w:color w:val="392C69"/>
              </w:rPr>
              <w:t xml:space="preserve">и на разработку месторождений углеводородного сырья, предусмотренной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rPr>
                <w:color w:val="392C69"/>
              </w:rPr>
              <w:t>, утв. Приказом Минприроды России от 20.09.2019 N 639.</w:t>
            </w:r>
          </w:p>
        </w:tc>
      </w:tr>
    </w:tbl>
    <w:p w:rsidR="00000000" w:rsidRDefault="00D3211D">
      <w:pPr>
        <w:pStyle w:val="ConsPlusTitle"/>
        <w:spacing w:before="300"/>
        <w:jc w:val="center"/>
        <w:outlineLvl w:val="1"/>
      </w:pPr>
      <w:r>
        <w:t>III. Требовани</w:t>
      </w:r>
      <w:r>
        <w:t>я к оформлению проектной документации</w:t>
      </w: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  <w:r>
        <w:t>6. Проектная документация на разработку месторождений углеводородного сырья должна содержать все данные, позволяющие производить анализ проектных решений без личного участия авторов.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7. Объемы и детальность прораб</w:t>
      </w:r>
      <w:r>
        <w:t>отки отдельных разделов определяются авторами проектной документации в зависимости от сложности строения залежей, количества эксплуатационных объектов и рассматриваемых вариантов их разработки, стадии проектирования.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lastRenderedPageBreak/>
        <w:t>Проекты пробной эксплуатации месторожде</w:t>
      </w:r>
      <w:r>
        <w:t>ния (залежи) и технологической схемы опытно-промышленной разработки залежей или участков залежей составляются на срок не более пяти лет.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8. Титульный лист проектной документации должен содержать следующие сведения: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наименование пользователя недр;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наиме</w:t>
      </w:r>
      <w:r>
        <w:t>нование организации - исполнителя проектной документации;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грифы согласования и утверждения;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наименование проектной документации;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наименование месторождения;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тип месторождения (нефтяное, газовое, газоконденсатное, газонефтяное и т.п.);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район распо</w:t>
      </w:r>
      <w:r>
        <w:t>ложения работ;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- место и год составления проектной документации.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9.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</w:t>
      </w:r>
      <w:r>
        <w:t>й сведения, относящиеся к данной части (тому).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10. Страницы текста проектной документации должны соответствовать формату листа A4, для таблиц допускается формат A3.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11. Проектная документация должна быть выполнена любым печатным способом на одной стороне л</w:t>
      </w:r>
      <w:r>
        <w:t>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12. Качество напечатанного текста и оформления иллюстраций, таблиц должно удовлетворять требованию их четког</w:t>
      </w:r>
      <w:r>
        <w:t>о воспроизведения.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13. Опечатки, описки и графические неточности, обнаруженные в процессе подготовки проектного документа, допускается исправлять подчисткой или закрашиванием белой краской и нанесением на том же месте исправленного текста (графики). Повреж</w:t>
      </w:r>
      <w:r>
        <w:t>дения листов текстовых документов, помарки и следы не полностью удаленного прежнего текста (графики) не допускаются.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14. Страницы проектной документации следует нумеровать арабскими цифрами, соблюдая сквозную нумерацию по всему тексту. Титульный лист проек</w:t>
      </w:r>
      <w:r>
        <w:t>тного документа включается в общую нумерацию страниц отчета. Номер страницы на титульном листе не проставляется.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15. Таблицы, расположенные на отдельных листах, включаются в общую нумерацию страниц отчета. Иллюстрации и таблицы на листе формата A3 учитываю</w:t>
      </w:r>
      <w:r>
        <w:t>т как одну страницу.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lastRenderedPageBreak/>
        <w:t>16. Название таблицы помещается над таблицей слева, без абзацного отступа в одну строку с ее номером через тире.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17. Таблицы, за исключением таблиц приложений, нумеруются арабскими цифрами сквозной нумерацией. Допускается нумеровать та</w:t>
      </w:r>
      <w:r>
        <w:t>блицы в пределах раздела.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18. Сведения об использованных источниках располагаются в порядке появления ссылок на источники в тексте отчета и нумеруются арабскими цифрами без точки и печатаются с абзацного отступа.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19. Приложение к проектной документации офо</w:t>
      </w:r>
      <w:r>
        <w:t>рмляется как продолжение проектного документа на последующих его листах или выпускают в виде самостоятельной части (тома).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20. Приложения должны иметь сквозную нумерацию страниц. При необходимости такое приложение может иметь "Содержание".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21. Исходные дан</w:t>
      </w:r>
      <w:r>
        <w:t xml:space="preserve">ные по запасам углеводородного сырья в пластах, их геолого-физические характеристики, результаты расчетов технологических показателей разработки приводятся в соответствии с требованиями, установленными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единицах величин, допускаемых к применению в Российской Федерации, утвержденным Постановлением Правительства Российской Федерации от 31.10.2009 N 879 (Собрание законодательства Российской Ф</w:t>
      </w:r>
      <w:r>
        <w:t>едерации, 2009, N 45, ст. 5352).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22. Реферат к проектной документации оформляется в виде отдельной книги. Реферат должен содержать сведения об объеме отчета, количестве иллюстраций, таблиц, приложений, частей отчета, использованных источников, перечень клю</w:t>
      </w:r>
      <w:r>
        <w:t>чевых слов, текст реферата.</w:t>
      </w:r>
    </w:p>
    <w:p w:rsidR="00000000" w:rsidRDefault="00D3211D">
      <w:pPr>
        <w:pStyle w:val="ConsPlusNormal"/>
        <w:spacing w:before="240"/>
        <w:ind w:firstLine="540"/>
        <w:jc w:val="both"/>
      </w:pPr>
      <w:r>
        <w:t>23. Графические материалы исполняются в соответствии с требованиями, установленными для составления горной графической документации.</w:t>
      </w:r>
    </w:p>
    <w:p w:rsidR="00000000" w:rsidRDefault="00D3211D">
      <w:pPr>
        <w:pStyle w:val="ConsPlusNormal"/>
        <w:ind w:firstLine="540"/>
        <w:jc w:val="both"/>
      </w:pPr>
    </w:p>
    <w:p w:rsidR="00000000" w:rsidRDefault="00D3211D">
      <w:pPr>
        <w:pStyle w:val="ConsPlusNormal"/>
        <w:ind w:firstLine="540"/>
        <w:jc w:val="both"/>
      </w:pPr>
    </w:p>
    <w:p w:rsidR="00D3211D" w:rsidRDefault="00D32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211D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1D" w:rsidRDefault="00D3211D" w:rsidP="00CA61D5">
      <w:pPr>
        <w:spacing w:after="0" w:line="240" w:lineRule="auto"/>
      </w:pPr>
      <w:r>
        <w:separator/>
      </w:r>
    </w:p>
  </w:endnote>
  <w:endnote w:type="continuationSeparator" w:id="0">
    <w:p w:rsidR="00D3211D" w:rsidRDefault="00D3211D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141A">
            <w:rPr>
              <w:sz w:val="20"/>
              <w:szCs w:val="20"/>
            </w:rPr>
            <w:fldChar w:fldCharType="separate"/>
          </w:r>
          <w:r w:rsidR="0084141A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141A">
            <w:rPr>
              <w:sz w:val="20"/>
              <w:szCs w:val="20"/>
            </w:rPr>
            <w:fldChar w:fldCharType="separate"/>
          </w:r>
          <w:r w:rsidR="0084141A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3211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1D" w:rsidRDefault="00D3211D" w:rsidP="00CA61D5">
      <w:pPr>
        <w:spacing w:after="0" w:line="240" w:lineRule="auto"/>
      </w:pPr>
      <w:r>
        <w:separator/>
      </w:r>
    </w:p>
  </w:footnote>
  <w:footnote w:type="continuationSeparator" w:id="0">
    <w:p w:rsidR="00D3211D" w:rsidRDefault="00D3211D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природы России от 08.07.2010 N 254</w:t>
          </w:r>
          <w:r>
            <w:rPr>
              <w:sz w:val="16"/>
              <w:szCs w:val="16"/>
            </w:rPr>
            <w:br/>
            <w:t>(ред. от 20.09.2019)</w:t>
          </w:r>
          <w:r>
            <w:rPr>
              <w:sz w:val="16"/>
              <w:szCs w:val="16"/>
            </w:rPr>
            <w:br/>
            <w:t>"Об утверждении требований к структуре и оформлению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11D">
          <w:pPr>
            <w:pStyle w:val="ConsPlusNormal"/>
            <w:jc w:val="center"/>
          </w:pPr>
        </w:p>
        <w:p w:rsidR="00000000" w:rsidRDefault="00D32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D32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21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A1D34"/>
    <w:rsid w:val="005A1D34"/>
    <w:rsid w:val="0084141A"/>
    <w:rsid w:val="00D3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58571&amp;date=15.09.2020&amp;dst=100048&amp;fld=134" TargetMode="External"/><Relationship Id="rId18" Type="http://schemas.openxmlformats.org/officeDocument/2006/relationships/hyperlink" Target="https://login.consultant.ru/link/?req=doc&amp;base=LAW&amp;n=334817&amp;date=15.09.2020&amp;dst=100011&amp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42466&amp;date=15.09.2020&amp;dst=100068&amp;fld=134" TargetMode="External"/><Relationship Id="rId17" Type="http://schemas.openxmlformats.org/officeDocument/2006/relationships/hyperlink" Target="https://login.consultant.ru/link/?req=doc&amp;base=LAW&amp;n=334817&amp;date=15.09.2020&amp;dst=10000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4817&amp;date=15.09.2020&amp;dst=100008&amp;fld=134" TargetMode="External"/><Relationship Id="rId20" Type="http://schemas.openxmlformats.org/officeDocument/2006/relationships/hyperlink" Target="https://login.consultant.ru/link/?req=doc&amp;base=LAW&amp;n=184726&amp;date=15.09.2020&amp;dst=100008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4817&amp;date=15.09.2020&amp;dst=100008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29751&amp;date=15.09.2020&amp;dst=100006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29751&amp;date=15.09.2020&amp;dst=100006&amp;fld=134" TargetMode="External"/><Relationship Id="rId19" Type="http://schemas.openxmlformats.org/officeDocument/2006/relationships/hyperlink" Target="https://login.consultant.ru/link/?req=doc&amp;base=LAW&amp;n=334817&amp;date=15.09.2020&amp;dst=10001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9004&amp;date=15.09.2020&amp;dst=100006&amp;fld=134" TargetMode="External"/><Relationship Id="rId14" Type="http://schemas.openxmlformats.org/officeDocument/2006/relationships/hyperlink" Target="https://login.consultant.ru/link/?req=doc&amp;base=LAW&amp;n=119004&amp;date=15.09.2020&amp;dst=100006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8503</Characters>
  <Application>Microsoft Office Word</Application>
  <DocSecurity>2</DocSecurity>
  <Lines>70</Lines>
  <Paragraphs>19</Paragraphs>
  <ScaleCrop>false</ScaleCrop>
  <Company>КонсультантПлюс Версия 4018.00.50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08.07.2010 N 254(ред. от 20.09.2019)"Об утверждении требований к структуре и оформлению проектной документации на разработку месторождений углеводородного сырья"(Зарегистрировано в Минюсте России 17.09.2010 N 18468)</dc:title>
  <dc:creator>Анна</dc:creator>
  <cp:lastModifiedBy>Анна</cp:lastModifiedBy>
  <cp:revision>2</cp:revision>
  <dcterms:created xsi:type="dcterms:W3CDTF">2020-09-15T11:24:00Z</dcterms:created>
  <dcterms:modified xsi:type="dcterms:W3CDTF">2020-09-15T11:24:00Z</dcterms:modified>
</cp:coreProperties>
</file>