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21EA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16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РФ от 27.10.2010 N 463</w:t>
            </w:r>
            <w:r>
              <w:rPr>
                <w:sz w:val="48"/>
                <w:szCs w:val="48"/>
              </w:rPr>
              <w:br/>
              <w:t>(ред. от 15.07.2011)</w:t>
            </w:r>
            <w:r>
              <w:rPr>
                <w:sz w:val="48"/>
                <w:szCs w:val="48"/>
              </w:rPr>
              <w:br/>
              <w:t>"Об утверждении требований к структуре и оформлению проектной документации на разработку месторождений подземных вод"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РФ 23.11.2010 N 19018)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16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1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16D0">
      <w:pPr>
        <w:pStyle w:val="ConsPlusNormal"/>
        <w:jc w:val="both"/>
        <w:outlineLvl w:val="0"/>
      </w:pPr>
    </w:p>
    <w:p w:rsidR="00000000" w:rsidRDefault="00C516D0">
      <w:pPr>
        <w:pStyle w:val="ConsPlusNormal"/>
        <w:outlineLvl w:val="0"/>
      </w:pPr>
      <w:r>
        <w:t>Зарегистрировано в Минюсте РФ 23 ноября 2010 г. N 19018</w:t>
      </w:r>
    </w:p>
    <w:p w:rsidR="00000000" w:rsidRDefault="00C51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516D0">
      <w:pPr>
        <w:pStyle w:val="ConsPlusNormal"/>
        <w:jc w:val="center"/>
      </w:pPr>
    </w:p>
    <w:p w:rsidR="00000000" w:rsidRDefault="00C516D0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C516D0">
      <w:pPr>
        <w:pStyle w:val="ConsPlusTitle"/>
        <w:jc w:val="center"/>
      </w:pPr>
      <w:r>
        <w:t>РОССИЙСКОЙ ФЕДЕРАЦИИ</w:t>
      </w:r>
    </w:p>
    <w:p w:rsidR="00000000" w:rsidRDefault="00C516D0">
      <w:pPr>
        <w:pStyle w:val="ConsPlusTitle"/>
        <w:jc w:val="center"/>
      </w:pPr>
    </w:p>
    <w:p w:rsidR="00000000" w:rsidRDefault="00C516D0">
      <w:pPr>
        <w:pStyle w:val="ConsPlusTitle"/>
        <w:jc w:val="center"/>
      </w:pPr>
      <w:r>
        <w:t>ПРИКАЗ</w:t>
      </w:r>
    </w:p>
    <w:p w:rsidR="00000000" w:rsidRDefault="00C516D0">
      <w:pPr>
        <w:pStyle w:val="ConsPlusTitle"/>
        <w:jc w:val="center"/>
      </w:pPr>
      <w:r>
        <w:t>от 27 октября 2010 г. N 463</w:t>
      </w:r>
    </w:p>
    <w:p w:rsidR="00000000" w:rsidRDefault="00C516D0">
      <w:pPr>
        <w:pStyle w:val="ConsPlusTitle"/>
        <w:jc w:val="center"/>
      </w:pPr>
    </w:p>
    <w:p w:rsidR="00000000" w:rsidRDefault="00C516D0">
      <w:pPr>
        <w:pStyle w:val="ConsPlusTitle"/>
        <w:jc w:val="center"/>
      </w:pPr>
      <w:r>
        <w:t>ОБ УТВЕРЖДЕНИИ ТРЕБОВАНИЙ</w:t>
      </w:r>
    </w:p>
    <w:p w:rsidR="00000000" w:rsidRDefault="00C516D0">
      <w:pPr>
        <w:pStyle w:val="ConsPlusTitle"/>
        <w:jc w:val="center"/>
      </w:pPr>
      <w:r>
        <w:t>К СТРУКТУРЕ И ОФОРМЛЕНИЮ ПРОЕКТНОЙ ДОКУМЕНТАЦИИ</w:t>
      </w:r>
    </w:p>
    <w:p w:rsidR="00000000" w:rsidRDefault="00C516D0">
      <w:pPr>
        <w:pStyle w:val="ConsPlusTitle"/>
        <w:jc w:val="center"/>
      </w:pPr>
      <w:r>
        <w:t>НА РАЗРАБОТКУ МЕСТОРОЖДЕНИЙ ПОДЗЕМНЫХ ВОД</w:t>
      </w:r>
    </w:p>
    <w:p w:rsidR="00000000" w:rsidRDefault="00C516D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16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16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15.07.2011 N 630)</w:t>
            </w:r>
          </w:p>
        </w:tc>
      </w:tr>
    </w:tbl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14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</w:t>
      </w:r>
      <w:r>
        <w:t xml:space="preserve">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</w:t>
      </w:r>
      <w:r>
        <w:t>а Российской Федерации, 2008, N 22, ст. 2581, N 42, ст. 4825, N 46, ст. 5337; 2009, N 3, ст. 378, N 6, ст. 738, N 33, ст. 4088, N 34, ст. 4192, N 49, ст. 5976; 2010, N 5, ст. 538, N 10, ст. 1094, N 14, ст. 1656, N 26, ст. 3350, N 31, ст. 4251, N 31, ст. 42</w:t>
      </w:r>
      <w:r>
        <w:t>68, N 38, ст. 4835), приказываю: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ТРЕБОВАНИЯ" w:history="1">
        <w:r>
          <w:rPr>
            <w:color w:val="0000FF"/>
          </w:rPr>
          <w:t>требования</w:t>
        </w:r>
      </w:hyperlink>
      <w:r>
        <w:t xml:space="preserve"> к структуре и оформлению проектной документации на разработку месторождений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 Настоящий Приказ вступает в силу через шесть месяцев по</w:t>
      </w:r>
      <w:r>
        <w:t>сле дня его официального опубликования.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jc w:val="right"/>
      </w:pPr>
      <w:r>
        <w:t>Министр</w:t>
      </w:r>
    </w:p>
    <w:p w:rsidR="00000000" w:rsidRDefault="00C516D0">
      <w:pPr>
        <w:pStyle w:val="ConsPlusNormal"/>
        <w:jc w:val="right"/>
      </w:pPr>
      <w:r>
        <w:t>Ю.П.ТРУТНЕВ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jc w:val="right"/>
        <w:outlineLvl w:val="0"/>
      </w:pPr>
      <w:r>
        <w:t>Приложение</w:t>
      </w:r>
    </w:p>
    <w:p w:rsidR="00000000" w:rsidRDefault="00C516D0">
      <w:pPr>
        <w:pStyle w:val="ConsPlusNormal"/>
        <w:jc w:val="right"/>
      </w:pPr>
      <w:r>
        <w:t>к Приказу Минприроды России</w:t>
      </w:r>
    </w:p>
    <w:p w:rsidR="00000000" w:rsidRDefault="00C516D0">
      <w:pPr>
        <w:pStyle w:val="ConsPlusNormal"/>
        <w:jc w:val="right"/>
      </w:pPr>
      <w:r>
        <w:t>от 27 октября N 463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Title"/>
        <w:jc w:val="center"/>
      </w:pPr>
      <w:bookmarkStart w:id="0" w:name="Par31"/>
      <w:bookmarkEnd w:id="0"/>
      <w:r>
        <w:lastRenderedPageBreak/>
        <w:t>ТРЕБОВАНИЯ</w:t>
      </w:r>
    </w:p>
    <w:p w:rsidR="00000000" w:rsidRDefault="00C516D0">
      <w:pPr>
        <w:pStyle w:val="ConsPlusTitle"/>
        <w:jc w:val="center"/>
      </w:pPr>
      <w:r>
        <w:t>К СТРУКТУРЕ И ОФОРМЛЕНИЮ ПРОЕКТНОЙ ДОКУМЕНТАЦИИ</w:t>
      </w:r>
    </w:p>
    <w:p w:rsidR="00000000" w:rsidRDefault="00C516D0">
      <w:pPr>
        <w:pStyle w:val="ConsPlusTitle"/>
        <w:jc w:val="center"/>
      </w:pPr>
      <w:r>
        <w:t>НА РАЗРАБОТКУ МЕСТОРОЖДЕНИЙ ПОДЗЕМНЫХ ВОД</w:t>
      </w:r>
    </w:p>
    <w:p w:rsidR="00000000" w:rsidRDefault="00C516D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516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516D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15.07.2011 N 630)</w:t>
            </w:r>
          </w:p>
        </w:tc>
      </w:tr>
    </w:tbl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jc w:val="center"/>
        <w:outlineLvl w:val="1"/>
      </w:pPr>
      <w:r>
        <w:t>I. Требования к структуре проекта опытно-промышленной</w:t>
      </w:r>
    </w:p>
    <w:p w:rsidR="00000000" w:rsidRDefault="00C516D0">
      <w:pPr>
        <w:pStyle w:val="ConsPlusNormal"/>
        <w:jc w:val="center"/>
      </w:pPr>
      <w:r>
        <w:t>разработки м</w:t>
      </w:r>
      <w:r>
        <w:t>есторождения (участка) минеральных,</w:t>
      </w:r>
    </w:p>
    <w:p w:rsidR="00000000" w:rsidRDefault="00C516D0">
      <w:pPr>
        <w:pStyle w:val="ConsPlusNormal"/>
        <w:jc w:val="center"/>
      </w:pPr>
      <w:r>
        <w:t>теплоэнергетических и промышленных подземных вод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  <w:r>
        <w:t>1. Введение.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1.1. Природно-климатические условия района расположения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1.2. Геологическая и гидрогеологическая изученность месторождения или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 Виды и объемы работ по опытно-промышленной разработке месторождения или участка (далее - ОПР).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2.1. Наземные геофизические работы (для месторождений или участков теплоэнерг</w:t>
      </w:r>
      <w:r>
        <w:t>етических подземных вод).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2.2. Буровые работы. Конструкция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2.3. Опытно-фильтрационные работы.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2.4. Отбор проб подземных вод и их химико-аналитические исследования.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2.5. Определение параметров теплоносителя и его изменений в процессе ОПР месторожде</w:t>
      </w:r>
      <w:r>
        <w:t>ния или участка (для теплоэнергетических подземных вод).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2.6. Утилизация отработанного теплоносителя и промышленных подземных вод (для теплоэнергетических и промышленных подземных вод).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2.7. Сведения о контрольно-измерительной аппаратуре и приборах.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2.8. Т</w:t>
      </w:r>
      <w:r>
        <w:t>ехнико-экономическое обоснование эффективности промышленной разработки месторождения (участка) и основных показателей кондиций (для теплоэнергетических и промышленных подземных вод).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2.9. Заключение о соответствии качества подземных вод требованиям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природных лечебных ресурсах, лечебно-оздоровительных местностях и курортах к минеральным подземным водам (для минеральных подземных вод)</w:t>
      </w:r>
      <w:r>
        <w:t>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 Оценка или переоценка запасов минеральных, теплоэнергетических и промышленных подземных вод оцененного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lastRenderedPageBreak/>
        <w:t>4. Мероприятия по безопасному ведению работ.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 Охрана окружающей среды и обеспечение экологической безопасности при пользо</w:t>
      </w:r>
      <w:r>
        <w:t>вании недрами.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5.1. Оценка состояния окружающей среды.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5.2. Виды и источники воздействия на окружающую среду и оценка последствий их воздействия.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5.3. Мероприятия по охране атмосферного воздуха.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5.4. Мероприятия по охране водных объектов.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5.5. Мероприятия </w:t>
      </w:r>
      <w:r>
        <w:t>по охране недр. Обоснование нормативов потерь.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5.6. Мероприятия по охране земельных ресурсов, растительного и животного мира.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6. Программа производственного экологического контроля (мониторинга).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 Сроки и условия выполнения работ по консервации и (или) л</w:t>
      </w:r>
      <w:r>
        <w:t>иквидации скважин, а также рекультивации земель.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 Текстовые, табличные и графические приложения.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jc w:val="center"/>
        <w:outlineLvl w:val="1"/>
      </w:pPr>
      <w:r>
        <w:t>II. Требования к структуре технологических схем</w:t>
      </w:r>
    </w:p>
    <w:p w:rsidR="00000000" w:rsidRDefault="00C516D0">
      <w:pPr>
        <w:pStyle w:val="ConsPlusNormal"/>
        <w:jc w:val="center"/>
      </w:pPr>
      <w:r>
        <w:t>и проектов разработки месторождений (участков) минеральных,</w:t>
      </w:r>
    </w:p>
    <w:p w:rsidR="00000000" w:rsidRDefault="00C516D0">
      <w:pPr>
        <w:pStyle w:val="ConsPlusNormal"/>
        <w:jc w:val="center"/>
      </w:pPr>
      <w:r>
        <w:t>теплоэнергетических и промышленных подземных вод</w:t>
      </w:r>
    </w:p>
    <w:p w:rsidR="00000000" w:rsidRDefault="00C516D0">
      <w:pPr>
        <w:pStyle w:val="ConsPlusNormal"/>
        <w:jc w:val="center"/>
      </w:pPr>
    </w:p>
    <w:p w:rsidR="00000000" w:rsidRDefault="00C516D0">
      <w:pPr>
        <w:pStyle w:val="ConsPlusNormal"/>
        <w:ind w:firstLine="540"/>
        <w:jc w:val="both"/>
      </w:pPr>
      <w:r>
        <w:t>1. Введение.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1.1. Основные сведения о предоставленных в пользование месторождениях (участках)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1.2. Оценка состояния изученности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 Гидрогеологическая модель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2.1. Схематизация геолого-гидрог</w:t>
      </w:r>
      <w:r>
        <w:t>еологических условий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2.2. Математическая модель месторождения (при необходимости).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2.3. Характеристика пластов-коллекторов.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2.4. Гидрогеологические параметры.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2.5. Качество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 Схема размещения эксплуатационных (резер</w:t>
      </w:r>
      <w:r>
        <w:t>вных) и наблюдательных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lastRenderedPageBreak/>
        <w:t>4. Конструкция водоприемной части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 Режим эксплуатации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6. Утилизация отработанного теплоносителя и промышленных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 Контроль технического состояния скважин в процессе эксплуатации.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 Аппарат</w:t>
      </w:r>
      <w:r>
        <w:t>ура и приборы.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8.1. Измерение расходов.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8.2. Измерение напоров (уровней).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8.3. Измерение температуры и теплосодержания.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8.4. Измерение газообразных компонентов.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8.5. Глубинные измерения.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9. Мероприятия по ликвидации аварий и осложнений при эксплуатации скв</w:t>
      </w:r>
      <w:r>
        <w:t>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10. Технико-экономические показатели разработки месторождений (участков) минеральных, теплоэнергетических и промышленных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11. Заключение о соответствии качества подземных вод требованиям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о природных лечебных ресурсах, лечебно-оздоровительных местностях и курортах к минеральным подземным водам (для минеральных подземных вод).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12. Мероприятия по безопасному ведению работ.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 Охрана окружающей среды и обеспечение экологической безопасности при пользовании недрами.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13.1. Оценка состояния окружающей среды.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13.2. Виды и источники воздействия на окружающую среду и оценка последствий</w:t>
      </w:r>
      <w:r>
        <w:t xml:space="preserve"> их воздействия.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13.3. Мероприятия по охране атмосферного воздуха.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13.4. Мероприятия по охране водных объектов.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13.5. Мероприятия по охране недр. Обоснование нормативов потерь.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13.6. Мероприятия по охране земельных ресурсов, растительного и животного мира.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14. Программа производственного экологического контроля (мониторинга).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15. Сроки и условия выполнения работ по консервации и (или) ликвидации скважин, а также </w:t>
      </w:r>
      <w:r>
        <w:lastRenderedPageBreak/>
        <w:t>рекультивации земель.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16. Заключение.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17. Текстовые, табличные и графические приложения.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jc w:val="center"/>
        <w:outlineLvl w:val="1"/>
      </w:pPr>
      <w:r>
        <w:t>III. Т</w:t>
      </w:r>
      <w:r>
        <w:t>ребования к структуре проекта водозабора</w:t>
      </w:r>
    </w:p>
    <w:p w:rsidR="00000000" w:rsidRDefault="00C516D0">
      <w:pPr>
        <w:pStyle w:val="ConsPlusNormal"/>
        <w:jc w:val="center"/>
      </w:pPr>
      <w:r>
        <w:t>при пользовании недрами для добычи питьевых и технических</w:t>
      </w:r>
    </w:p>
    <w:p w:rsidR="00000000" w:rsidRDefault="00C516D0">
      <w:pPr>
        <w:pStyle w:val="ConsPlusNormal"/>
        <w:jc w:val="center"/>
      </w:pPr>
      <w:r>
        <w:t>подземных вод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  <w:r>
        <w:t>1. Введение.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1.1. Общие сведения о районе расположения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1.1.1. Природно-климатические условия.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1.1.2. Сведения о геоло</w:t>
      </w:r>
      <w:r>
        <w:t>го-гидрогеологической изученности.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1.2. Характеристика недропользователя и основных водопотребителей.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1.3. Сведения об основных условиях пользования предоставленным участком недр.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1.4. Сведения о действующем проекте (при наличии) или подготовленном проекте</w:t>
      </w:r>
      <w:r>
        <w:t xml:space="preserve"> на разработку месторождения (участка)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 Геологическое строение и гидрогеологические условия месторождения (участка)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2.1. Краткая характеристика целевых водоносных горизонтов (комплексов).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2.2. Характеристика водовмещающих пород.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2.3. Запасы подземных вод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2.4. Качество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2.5. Проектная схема водозаборного сооружения, принятая при подсчете запасов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2.6. Технология предварительной водоподгото</w:t>
      </w:r>
      <w:r>
        <w:t>вки (в случае применения).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 Текущее состояние действующего водозабора и режима его эксплуатации (при наличии) или технические решения по проектируемому водозабору.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3.1. Конструкция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3.1.1. Оборудование водоприемной части эксплуатационных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3.1.2. Оборудование водоприемной части наблюдательных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lastRenderedPageBreak/>
        <w:t>3.2. Техническое состояние скважин.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3.2.1. Сведения о ликвидированных скважинах.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3.2.2. Сведения о законсервированных скважинах.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3.3. Водоподъемное оборудование.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3.4. Контрольно-измерительная </w:t>
      </w:r>
      <w:r>
        <w:t>аппаратура для измерения расходов и уровней.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3.5. Расчет нормативного водопотребления и водоотведения.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3.6. Фактические показатели по добыче подземных вод.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3.7. Оценка соответствия фактических показателей добычи подземных вод условиям лицензионного соглаше</w:t>
      </w:r>
      <w:r>
        <w:t>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3.8. Санитарное состояние площади водозабора и зоны (или зон) санитарной охраны строгого режима.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4. Сведения о переоценке запасов месторождения (участка).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 Заключение о соответствии качества подземных вод установленным гигиеническим нормативам и зон</w:t>
      </w:r>
      <w:r>
        <w:t xml:space="preserve"> санитарной охраны государственным санитарно-эпидемиологическим правилам и нормативам.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6. Мероприятия по обеспечению промышленной безопасности при эксплуатации водозабора, ремонте скважин и оборудования.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 Охрана окружающей среды и обеспечение экологическ</w:t>
      </w:r>
      <w:r>
        <w:t>ой безопасности при пользовании недрами.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7.1. Оценка состояния окружающей среды.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7.2. Виды и источники воздействия на окружающую среду и оценка последствий их воздействия.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7.3. Мероприятия по охране атмосферного воздуха.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7.4. Мероприятия по охране водных о</w:t>
      </w:r>
      <w:r>
        <w:t>бъектов.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7.5. Мероприятия по охране недр. Обоснование нормативов потерь.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7.6. Мероприятия по охране земельных ресурсов, растительного и животного мира.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8. Программа производственного экологического контроля (мониторинга).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9. Сроки и условия выполнения работ по консервации и (или) ликвидации скважин, а также рекультивации земель.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lastRenderedPageBreak/>
        <w:t>10. Заключение.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11. Табличные, текстовые и графические приложения.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jc w:val="center"/>
        <w:outlineLvl w:val="1"/>
      </w:pPr>
      <w:r>
        <w:t>IV. Требования к оформлению проектной документации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  <w:r>
        <w:t>1. Проектная документация н</w:t>
      </w:r>
      <w:r>
        <w:t>а разработку месторождений подземных вод должна содержать все данные, позволяющие производить анализ проектных решений без личного участия авторов.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2. Объемы и детальность проработки отдельных разделов определяются авторами проектного документа в зависимос</w:t>
      </w:r>
      <w:r>
        <w:t>ти от сложности строения месторождений, рассматриваемых вариантов разработки, стадии проектирования.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3. Изменения (дополнения) к проектной документации на разработку месторождений (участков) подземных вод должны содержать только те разделы, которые подверг</w:t>
      </w:r>
      <w:r>
        <w:t>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4. Проектная документация на до</w:t>
      </w:r>
      <w:r>
        <w:t>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изучения, разведки и добычи иных видов полезных</w:t>
      </w:r>
      <w:r>
        <w:t xml:space="preserve"> ископаемых в границах предоставленных им горных отводов и (или) геологических отводов согласовывается в составе проектной документации на разработку соответствующего вида полезного ископаемого или в виде самостоятельного проекта.</w:t>
      </w:r>
    </w:p>
    <w:p w:rsidR="00000000" w:rsidRDefault="00C516D0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РФ от 15.07.2011 N 630)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5. Титульный лист проектной документации содержит следующие сведения: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- наименование пользователя недр;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- наименовани</w:t>
      </w:r>
      <w:r>
        <w:t>е организации-исполнителя проектной документации;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- грифы согласования и утверждения;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- наименование проектной документации;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- название месторождения (участка);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- место и год составления проектной документации.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6. Если проектная документация состоит из дву</w:t>
      </w:r>
      <w:r>
        <w:t>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7. Страницы текста проектной документации и включенные в нее та</w:t>
      </w:r>
      <w:r>
        <w:t>блицы должны соответствовать формату листа A4. Для таблиц допускается формат A3.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8. Проектная документация должна быть выполнена любым печатным способом на одной </w:t>
      </w:r>
      <w:r>
        <w:lastRenderedPageBreak/>
        <w:t>стороне листа белой бумаги через полтора интервала. Цвет шрифта должен быть черным, высота бук</w:t>
      </w:r>
      <w:r>
        <w:t>в, цифр и других знаков - не менее 1,8 мм (кегль не менее 12).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</w:t>
      </w:r>
      <w:r>
        <w:t xml:space="preserve">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10. Страницы проектной документации следует нумеровать арабскими цифрами, соблюдая сквозную ну</w:t>
      </w:r>
      <w:r>
        <w:t>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11. Таблицы, расположенные на отдельных листах, включают в общую нумерацию страниц. Иллюстрации и таблицы н</w:t>
      </w:r>
      <w:r>
        <w:t>а листе формата A3 учитывают как одну страницу.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14. Сведения об использованных источниках следует располагать в порядке появления ссылок на источник</w:t>
      </w:r>
      <w:r>
        <w:t>и в тексте проектной документации и нумеровать арабскими цифрами без точки и печатать с абзацного отступа.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</w:t>
      </w:r>
      <w:r>
        <w:t xml:space="preserve"> части (тома).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16. Приложения должны иметь сквозную нумерацию страниц. При необходимости такое приложение может иметь "Содержание".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 xml:space="preserve">17. Исходные данные по запасам подземных вод, их характеристики, результаты расчетов технологических показателей разработки </w:t>
      </w:r>
      <w:r>
        <w:t xml:space="preserve">приводятся в соответствии с требованиями, установленными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единицах величин, допускаемых к применению в Российской Федерации, утвержденны</w:t>
      </w:r>
      <w:r>
        <w:t>м Постановлением Правительства Российской Федерации от 31.10.2009 N 879 (Собрание законодательства Российской Федерации, 2009, N 45, ст. 5352).</w:t>
      </w:r>
    </w:p>
    <w:p w:rsidR="00000000" w:rsidRDefault="00C516D0">
      <w:pPr>
        <w:pStyle w:val="ConsPlusNormal"/>
        <w:spacing w:before="240"/>
        <w:ind w:firstLine="540"/>
        <w:jc w:val="both"/>
      </w:pPr>
      <w:r>
        <w:t>18. Графические материалы исполняются в соответствии с установленными требованиями.</w:t>
      </w:r>
    </w:p>
    <w:p w:rsidR="00000000" w:rsidRDefault="00C516D0">
      <w:pPr>
        <w:pStyle w:val="ConsPlusNormal"/>
        <w:ind w:firstLine="540"/>
        <w:jc w:val="both"/>
      </w:pPr>
    </w:p>
    <w:p w:rsidR="00000000" w:rsidRDefault="00C516D0">
      <w:pPr>
        <w:pStyle w:val="ConsPlusNormal"/>
        <w:ind w:firstLine="540"/>
        <w:jc w:val="both"/>
      </w:pPr>
    </w:p>
    <w:p w:rsidR="00C516D0" w:rsidRDefault="00C51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516D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D0" w:rsidRDefault="00C516D0" w:rsidP="00CA61D5">
      <w:pPr>
        <w:spacing w:after="0" w:line="240" w:lineRule="auto"/>
      </w:pPr>
      <w:r>
        <w:separator/>
      </w:r>
    </w:p>
  </w:endnote>
  <w:endnote w:type="continuationSeparator" w:id="0">
    <w:p w:rsidR="00C516D0" w:rsidRDefault="00C516D0" w:rsidP="00C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16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6D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6D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6D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21EA2">
            <w:rPr>
              <w:sz w:val="20"/>
              <w:szCs w:val="20"/>
            </w:rPr>
            <w:fldChar w:fldCharType="separate"/>
          </w:r>
          <w:r w:rsidR="00521EA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21EA2">
            <w:rPr>
              <w:sz w:val="20"/>
              <w:szCs w:val="20"/>
            </w:rPr>
            <w:fldChar w:fldCharType="separate"/>
          </w:r>
          <w:r w:rsidR="00521EA2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16D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D0" w:rsidRDefault="00C516D0" w:rsidP="00CA61D5">
      <w:pPr>
        <w:spacing w:after="0" w:line="240" w:lineRule="auto"/>
      </w:pPr>
      <w:r>
        <w:separator/>
      </w:r>
    </w:p>
  </w:footnote>
  <w:footnote w:type="continuationSeparator" w:id="0">
    <w:p w:rsidR="00C516D0" w:rsidRDefault="00C516D0" w:rsidP="00CA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6D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</w:t>
          </w:r>
          <w:r>
            <w:rPr>
              <w:sz w:val="16"/>
              <w:szCs w:val="16"/>
            </w:rPr>
            <w:t>оды РФ от 27.10.2010 N 463</w:t>
          </w:r>
          <w:r>
            <w:rPr>
              <w:sz w:val="16"/>
              <w:szCs w:val="16"/>
            </w:rPr>
            <w:br/>
            <w:t>(ред. от 15.07.2011)</w:t>
          </w:r>
          <w:r>
            <w:rPr>
              <w:sz w:val="16"/>
              <w:szCs w:val="16"/>
            </w:rPr>
            <w:br/>
            <w:t>"Об утверждении требований к структуре и оформлению проект...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6D0">
          <w:pPr>
            <w:pStyle w:val="ConsPlusNormal"/>
            <w:jc w:val="center"/>
          </w:pPr>
        </w:p>
        <w:p w:rsidR="00000000" w:rsidRDefault="00C516D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16D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15.09.2020</w:t>
          </w:r>
        </w:p>
      </w:tc>
    </w:tr>
  </w:tbl>
  <w:p w:rsidR="00000000" w:rsidRDefault="00C516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16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B4FA2"/>
    <w:rsid w:val="001B4FA2"/>
    <w:rsid w:val="00521EA2"/>
    <w:rsid w:val="00C5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56884&amp;date=15.09.2020&amp;dst=100081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118305&amp;date=15.09.2020&amp;dst=100006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4726&amp;date=15.09.2020&amp;dst=100008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8571&amp;date=15.09.2020&amp;dst=10004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18305&amp;date=15.09.2020&amp;dst=100006&amp;fld=134" TargetMode="External"/><Relationship Id="rId10" Type="http://schemas.openxmlformats.org/officeDocument/2006/relationships/hyperlink" Target="https://login.consultant.ru/link/?req=doc&amp;base=LAW&amp;n=342466&amp;date=15.09.2020&amp;dst=100068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18305&amp;date=15.09.2020&amp;dst=100006&amp;fld=134" TargetMode="External"/><Relationship Id="rId14" Type="http://schemas.openxmlformats.org/officeDocument/2006/relationships/hyperlink" Target="https://login.consultant.ru/link/?req=doc&amp;base=LAW&amp;n=156884&amp;date=15.09.2020&amp;dst=10008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2234</Words>
  <Characters>12739</Characters>
  <Application>Microsoft Office Word</Application>
  <DocSecurity>2</DocSecurity>
  <Lines>106</Lines>
  <Paragraphs>29</Paragraphs>
  <ScaleCrop>false</ScaleCrop>
  <Company>КонсультантПлюс Версия 4018.00.50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РФ от 27.10.2010 N 463(ред. от 15.07.2011)"Об утверждении требований к структуре и оформлению проектной документации на разработку месторождений подземных вод"(Зарегистрировано в Минюсте РФ 23.11.2010 N 19018)</dc:title>
  <dc:creator>Анна</dc:creator>
  <cp:lastModifiedBy>Анна</cp:lastModifiedBy>
  <cp:revision>2</cp:revision>
  <dcterms:created xsi:type="dcterms:W3CDTF">2020-09-15T11:26:00Z</dcterms:created>
  <dcterms:modified xsi:type="dcterms:W3CDTF">2020-09-15T11:26:00Z</dcterms:modified>
</cp:coreProperties>
</file>